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разделы 2.1,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5.3, 5.4.2–5.4.3)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4.3, 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2.3.2, 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3.3.3, 3.5.3,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 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2.5,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6.4.1,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2.11.1, 2.11.2, 2.12.1,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6.4.3)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 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2.10.3, 2.12.2)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2.10.2, 2.10.5, 2.10.6)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1.3.2, 2.11.3)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1.4.1, 1.4.2, 2.11.2)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1.4.3, 2.12.1)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постсоветского пространства, включая диалекты, различные регистры и пограничные варианты русского языка в синхронной, диахронической и типологической перспективе. Это предполагает теоретическое и квантитативное моделирование языковых явлений и естественных рассуждений, а также создание цифровых инструментов и лингвистических ресурсов, в том числе образовательных.</w:t>
      </w:r>
    </w:p>
    <w:p>
      <w:pPr>
        <w:pStyle w:val="BodyText"/>
      </w:pPr>
      <w:r>
        <w:t xml:space="preserve">В ходе реализации проекта были решены следующие задачи:</w:t>
      </w:r>
    </w:p>
    <w:p>
      <w:pPr>
        <w:pStyle w:val="BodyText"/>
      </w:pPr>
      <w:r>
        <w:t xml:space="preserve">— 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r>
        <w:t xml:space="preserve"> </w:t>
      </w:r>
      <w:r>
        <w:t xml:space="preserve">- осуществлены сбор и анализ полевых материалов (элицитация, тексты и переводы текстов); созданы новые инструменты и ресурсы по языкам России и постсоветского пространства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r>
        <w:t xml:space="preserve"> </w:t>
      </w:r>
      <w:r>
        <w:t xml:space="preserve">- 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r>
        <w:t xml:space="preserve"> </w:t>
      </w:r>
      <w:r>
        <w:t xml:space="preserve">- осуществлена разработка комплексной цифровой среды для хранения и анализа разноплановых языковых данных на материале малых иранских языков;</w:t>
      </w:r>
      <w:r>
        <w:t xml:space="preserve"> </w:t>
      </w:r>
      <w:r>
        <w:t xml:space="preserve">- 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r>
        <w:t xml:space="preserve"> </w:t>
      </w:r>
      <w:r>
        <w:t xml:space="preserve">- реализованы фундаментальные исследования: моделирование языковых явлений на основе данных языков России (включая русский) и языков постсоветского пространства; апробация компьютерных моделей (включая современные методы искусственного интеллекта) на языковом материале;</w:t>
      </w:r>
      <w:r>
        <w:t xml:space="preserve"> </w:t>
      </w:r>
      <w:r>
        <w:t xml:space="preserve">- 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r>
        <w:t xml:space="preserve"> </w:t>
      </w:r>
      <w:r>
        <w:t xml:space="preserve">- осуществлено типологическое описание избранных зон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r>
        <w:t xml:space="preserve"> </w:t>
      </w:r>
      <w:r>
        <w:t xml:space="preserve">- проведена разработка нейросетевых методов 1) для коррекции текстов, написанных носителями русского языка, в т. ч. на иностранных языках; 2) для морфологического и синтаксического анализа исторических текстов; осуществлено компьютерное моделирование дискурса, в частности академического;</w:t>
      </w:r>
      <w:r>
        <w:t xml:space="preserve"> </w:t>
      </w:r>
      <w:r>
        <w:t xml:space="preserve">- выполнено исследование закономерностей в области прагматических функций многословных последовательностей в различных регистрах академической речи, которые проявляются в академических текстах на английском языке, написанных носителями русского языка.</w:t>
      </w:r>
    </w:p>
    <w:p>
      <w:pPr>
        <w:pStyle w:val="BodyText"/>
      </w:pPr>
      <w:r>
        <w:t xml:space="preserve">Во Введении комплексно описаны основные направления исследовательского проекта.</w:t>
      </w:r>
    </w:p>
    <w:p>
      <w:pPr>
        <w:pStyle w:val="BodyText"/>
      </w:pPr>
      <w:r>
        <w:t xml:space="preserve">В</w:t>
      </w:r>
      <w:r>
        <w:t xml:space="preserve"> </w:t>
      </w:r>
      <w:hyperlink w:anchor="sec-typology">
        <w:r>
          <w:rPr>
            <w:rStyle w:val="Hyperlink"/>
          </w:rPr>
          <w:t xml:space="preserve">Глава 1</w:t>
        </w:r>
      </w:hyperlink>
      <w:r>
        <w:t xml:space="preserve"> </w:t>
      </w:r>
      <w:r>
        <w:t xml:space="preserve">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подраздел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В</w:t>
      </w:r>
      <w:r>
        <w:t xml:space="preserve"> </w:t>
      </w:r>
      <w:hyperlink w:anchor="sec-language">
        <w:r>
          <w:rPr>
            <w:rStyle w:val="Hyperlink"/>
          </w:rPr>
          <w:t xml:space="preserve">Глава 2</w:t>
        </w:r>
      </w:hyperlink>
      <w:r>
        <w:t xml:space="preserve"> </w:t>
      </w:r>
      <w:r>
        <w:t xml:space="preserve">описаны результаты частных исследований в области русского языка и других языков России. Если в</w:t>
      </w:r>
      <w:r>
        <w:t xml:space="preserve"> </w:t>
      </w:r>
      <w:hyperlink w:anchor="sec-typology">
        <w:r>
          <w:rPr>
            <w:rStyle w:val="Hyperlink"/>
          </w:rPr>
          <w:t xml:space="preserve">Глава 1</w:t>
        </w:r>
      </w:hyperlink>
      <w:r>
        <w:t xml:space="preserve"> </w:t>
      </w:r>
      <w:r>
        <w:t xml:space="preserve">приводятся результаты типологических исследований, представляющих явления языков в ареальной и генетической сопоставительной перспективе, то частноязыковые исследования предполагают фокус на одном языке, в том числе нестандартных вариантах языка, связанных с особым характером языкового опыта. Анализ языкового материала осуществляется методами и инструментами корпусной и полевой лингвистики.</w:t>
      </w:r>
    </w:p>
    <w:p>
      <w:pPr>
        <w:pStyle w:val="BodyText"/>
      </w:pPr>
      <w:r>
        <w:t xml:space="preserve">В области исследования языков России и приграничных стран были особенно подробно изучены морфосинтаксис и семантика глагольных и именных форм, а также диалектная вариативность (тундровый ненецкий язык, лесной ненецкий язык, удмуртский язык, ительменский язык, шугнанский язык, эвенский язык, кильдинский саамский язык, эвенский язык, уильтинский язык, эрзянский язык) и особенности нестандартной речи в условиях языковой утраты.</w:t>
      </w:r>
    </w:p>
    <w:p>
      <w:pPr>
        <w:pStyle w:val="BodyText"/>
      </w:pPr>
      <w:r>
        <w:t xml:space="preserve">В области исследований русского языка 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Обследовались особенности русского языка, связанные с вариативностью выражения смыслов и динамикой речевой нормы. Результаты также представлены в</w:t>
      </w:r>
      <w:r>
        <w:t xml:space="preserve"> </w:t>
      </w:r>
      <w:hyperlink w:anchor="sec-language">
        <w:r>
          <w:rPr>
            <w:rStyle w:val="Hyperlink"/>
          </w:rPr>
          <w:t xml:space="preserve">Глава 2</w:t>
        </w:r>
      </w:hyperlink>
      <w:r>
        <w:t xml:space="preserve">.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В @#sec-formal отражены результаты исследования языков России формальными методами. 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Разрабатываемые рабочей группой проекта формальные модели служат более мощным и современным инструментом анализа эмпирических языковых данных, чем традиционные подходы. Одной из задач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Для решения этой задачи разрабатывались ресурсы, служащие эмпирической базой для разрабатываемых моделей. Исследования велись на материале русского, а также хантыйского, абазинского, кильдинского саамского, мишарского татарского и других языков России.</w:t>
      </w:r>
    </w:p>
    <w:p>
      <w:pPr>
        <w:pStyle w:val="BodyText"/>
      </w:pPr>
      <w:hyperlink w:anchor="sec-logic">
        <w:r>
          <w:rPr>
            <w:rStyle w:val="Hyperlink"/>
          </w:rPr>
          <w:t xml:space="preserve">Глава 4</w:t>
        </w:r>
      </w:hyperlink>
      <w:r>
        <w:t xml:space="preserve"> </w:t>
      </w:r>
      <w:r>
        <w:t xml:space="preserve">развивает формальный подход к описанию естественного языка и мышления — в теоретическом аспекте. Исследование коммуникативных компетенций ограниченно рациональных агентов было направлено на поиск новых подходов к разрешению затруднений, которые препятствуют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Особое внимание уделялось новым теоретическим и практическим вызовам, обусловленным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Обращение к их истокам осуществлялось не в их сугубо исторической, а в реактуализирующей эти традиции перспективе. Оно сопровождалось их переосмыслением в контексте современных проблем семантики, семиотики и когнитивных наук.</w:t>
      </w:r>
    </w:p>
    <w:p>
      <w:pPr>
        <w:pStyle w:val="BodyText"/>
      </w:pPr>
      <w:r>
        <w:t xml:space="preserve">В</w:t>
      </w:r>
      <w:r>
        <w:t xml:space="preserve"> </w:t>
      </w:r>
      <w:hyperlink w:anchor="sec-computer">
        <w:r>
          <w:rPr>
            <w:rStyle w:val="Hyperlink"/>
          </w:rPr>
          <w:t xml:space="preserve">Глава 5</w:t>
        </w:r>
      </w:hyperlink>
      <w:r>
        <w:t xml:space="preserve"> </w:t>
      </w:r>
      <w:r>
        <w:t xml:space="preserve">отражены результаты, полученные рабочей группой по разработке учебных корпусов. Такие корпуса стали эффективным инструментом современных образовательных технологий, необходимых для сохранения языкового богатства в следующих поколениях. В частности, создаются инструменты для отслеживания сходства учебных текстов, написанных инофонами, и текстов, написанных носителями. Классическим жанром для обучения языку является эссе на заданную тему, которое содержало бы элементы обоснования точки зрения обучающегося. Для автоматического сравнения эссе инофонов и носителей предложены оригинальные разработки. К ним относятся инструменты для автоматического обнаружения ошибок разных уровней: не только в грамматике, но и в синтаксисе, логической структуре предложения или порядке следования фраз при обосновании автором своей точки зрения.</w:t>
      </w:r>
    </w:p>
    <w:p>
      <w:pPr>
        <w:pStyle w:val="BodyText"/>
      </w:pPr>
      <w:r>
        <w:t xml:space="preserve">Для успешного решения этих задач необходимо поместить изучаемый язык в общий языковой контекст. В связи с этим были проведены исследования риторической структуры учебных текстов и осуществлено её сравнение со структурой текстов, написанных профессионалами, работающими на выбранном языке. Предложен метод сравнения структуры высказываний на разных языках, который позволит выявить влияние родного языка обучаемого на структуру порождаемого им текста и исправлять его непосредственно в процессе обучения.</w:t>
      </w:r>
    </w:p>
    <w:p>
      <w:pPr>
        <w:pStyle w:val="BodyText"/>
      </w:pPr>
      <w:r>
        <w:t xml:space="preserve">Новой задачей является использование больших моделей в автоматизации образовательных технологий. В 2025 г. выделены различные характеристики синтетических, т.е. генерируемых автоматически, текстов, описаны возможности использования больших языковых моделей для решения ряда задач автоматической обработки больших данных на естественном языке, а также представлены собранные рабочей группой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Деятельность рабочей группы учебных корпусов направлена на внедрение технологий и ресурсов, которые разрабатываются в рамках проекта для открытого использования как лингвистами, так и широким кругом потребителей. Результаты этой деятельности также представлены в</w:t>
      </w:r>
      <w:r>
        <w:t xml:space="preserve"> </w:t>
      </w:r>
      <w:hyperlink w:anchor="sec-computer">
        <w:r>
          <w:rPr>
            <w:rStyle w:val="Hyperlink"/>
          </w:rPr>
          <w:t xml:space="preserve">Глава 5</w:t>
        </w:r>
      </w:hyperlink>
      <w:r>
        <w:t xml:space="preserve">.</w:t>
      </w:r>
    </w:p>
    <w:bookmarkEnd w:id="23"/>
    <w:bookmarkStart w:id="66" w:name="sec-typology"/>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sec-language"/>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6"/>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7"/>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09"/>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0"/>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1"/>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2"/>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3"/>
        </w:numPr>
      </w:pPr>
      <w:r>
        <w:t xml:space="preserve">предложение без дополнительных ошибок;</w:t>
      </w:r>
    </w:p>
    <w:p>
      <w:pPr>
        <w:numPr>
          <w:ilvl w:val="0"/>
          <w:numId w:val="1013"/>
        </w:numPr>
      </w:pPr>
      <w:r>
        <w:t xml:space="preserve">предложение с дополнительной ошибкой в целевом слове (где находится основная лексическая ошибка);</w:t>
      </w:r>
    </w:p>
    <w:p>
      <w:pPr>
        <w:numPr>
          <w:ilvl w:val="0"/>
          <w:numId w:val="1013"/>
        </w:numPr>
      </w:pPr>
      <w:r>
        <w:t xml:space="preserve">предложение с дополнительной ошибкой вне целевого слова (в правом или левом контексте);</w:t>
      </w:r>
    </w:p>
    <w:p>
      <w:pPr>
        <w:numPr>
          <w:ilvl w:val="0"/>
          <w:numId w:val="1013"/>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4"/>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4"/>
        </w:numPr>
      </w:pPr>
      <w:r>
        <w:t xml:space="preserve">Basic Empathy Scale</w:t>
      </w:r>
      <w:r>
        <w:t xml:space="preserve"> </w:t>
      </w:r>
      <w:r>
        <w:t xml:space="preserve">[104]</w:t>
      </w:r>
      <w:r>
        <w:t xml:space="preserve"> </w:t>
      </w:r>
      <w:r>
        <w:t xml:space="preserve">— измерение эмпатии;</w:t>
      </w:r>
    </w:p>
    <w:p>
      <w:pPr>
        <w:pStyle w:val="Compact"/>
        <w:numPr>
          <w:ilvl w:val="0"/>
          <w:numId w:val="1014"/>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5"/>
        </w:numPr>
      </w:pPr>
      <w:r>
        <w:t xml:space="preserve">женщины показали высокие показатели эмпатии и застенчивости, мужчины — высокие показатели общительности;</w:t>
      </w:r>
    </w:p>
    <w:p>
      <w:pPr>
        <w:numPr>
          <w:ilvl w:val="0"/>
          <w:numId w:val="1015"/>
        </w:numPr>
      </w:pPr>
      <w:r>
        <w:t xml:space="preserve">обнаружена положительная корреляция между эмпатией и застенчивостью (r = 0,37);</w:t>
      </w:r>
    </w:p>
    <w:p>
      <w:pPr>
        <w:numPr>
          <w:ilvl w:val="0"/>
          <w:numId w:val="1015"/>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5"/>
        </w:numPr>
      </w:pPr>
      <w:r>
        <w:t xml:space="preserve">дистанция коррелирует с частотностью слов (r = 0,29): чем чаще слово, тем оно воспринимается как более позитивное;</w:t>
      </w:r>
    </w:p>
    <w:p>
      <w:pPr>
        <w:numPr>
          <w:ilvl w:val="0"/>
          <w:numId w:val="1015"/>
        </w:numPr>
      </w:pPr>
      <w:r>
        <w:t xml:space="preserve">застенчивость оказывает отрицательное влияние на экстремальность оценок (p = 0,002);</w:t>
      </w:r>
    </w:p>
    <w:p>
      <w:pPr>
        <w:numPr>
          <w:ilvl w:val="0"/>
          <w:numId w:val="1015"/>
        </w:numPr>
      </w:pPr>
      <w:r>
        <w:t xml:space="preserve">общительность влияет на приближение фигурки к стимулам (тенденция p &lt; 0,1);</w:t>
      </w:r>
    </w:p>
    <w:p>
      <w:pPr>
        <w:numPr>
          <w:ilvl w:val="0"/>
          <w:numId w:val="1015"/>
        </w:numPr>
      </w:pPr>
      <w:r>
        <w:t xml:space="preserve">эмпатия не показала значимого эффекта;</w:t>
      </w:r>
    </w:p>
    <w:p>
      <w:pPr>
        <w:numPr>
          <w:ilvl w:val="0"/>
          <w:numId w:val="1015"/>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6"/>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6"/>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7"/>
        </w:numPr>
      </w:pPr>
      <w:r>
        <w:t xml:space="preserve">двойное маркирование:</w:t>
      </w:r>
    </w:p>
    <w:p>
      <w:pPr>
        <w:pStyle w:val="Compact"/>
        <w:numPr>
          <w:ilvl w:val="0"/>
          <w:numId w:val="1018"/>
        </w:numPr>
      </w:pPr>
      <w:r>
        <w:t xml:space="preserve">зависимое.GEN + вершина.DEF/POSS.</w:t>
      </w:r>
      <w:r>
        <w:t xml:space="preserve"> </w:t>
      </w:r>
      <w:r>
        <w:t xml:space="preserve">б) зависимое.GEN.DEF/POSS + вершина.DEF/POSS.</w:t>
      </w:r>
    </w:p>
    <w:p>
      <w:pPr>
        <w:pStyle w:val="Compact"/>
        <w:numPr>
          <w:ilvl w:val="0"/>
          <w:numId w:val="1019"/>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19"/>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sec-formal"/>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1"/>
        </w:numPr>
      </w:pPr>
      <w:r>
        <w:t xml:space="preserve">#</w:t>
      </w:r>
      <w:r>
        <w:rPr>
          <w:i/>
          <w:iCs/>
        </w:rPr>
        <w:t xml:space="preserve">In 1964, every U.S. Senator (then) at Harvard got straight A’s.</w:t>
      </w:r>
      <w:r>
        <w:t xml:space="preserve"> </w:t>
      </w:r>
      <w:r>
        <w:t xml:space="preserve">[126]</w:t>
      </w:r>
    </w:p>
    <w:p>
      <w:pPr>
        <w:numPr>
          <w:ilvl w:val="0"/>
          <w:numId w:val="1001"/>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1"/>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1"/>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1"/>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1"/>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1"/>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1"/>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1"/>
        </w:numPr>
      </w:pPr>
      <w:r>
        <w:rPr>
          <w:i/>
          <w:iCs/>
        </w:rPr>
        <w:t xml:space="preserve">Иван не видел там каких-либо студентов</w:t>
      </w:r>
      <w:r>
        <w:t xml:space="preserve">.</w:t>
      </w:r>
      <w:r>
        <w:t xml:space="preserve"> </w:t>
      </w:r>
      <w:r>
        <w:t xml:space="preserve">[153: 43]</w:t>
      </w:r>
    </w:p>
    <w:p>
      <w:pPr>
        <w:numPr>
          <w:ilvl w:val="0"/>
          <w:numId w:val="1001"/>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1"/>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1"/>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1"/>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0"/>
        </w:numPr>
      </w:pPr>
      <w:r>
        <w:t xml:space="preserve">cемантико-синтаксический тип предиката;</w:t>
      </w:r>
    </w:p>
    <w:p>
      <w:pPr>
        <w:pStyle w:val="Compact"/>
        <w:numPr>
          <w:ilvl w:val="0"/>
          <w:numId w:val="1020"/>
        </w:numPr>
      </w:pPr>
      <w:r>
        <w:t xml:space="preserve">тип зависимой клаузы;</w:t>
      </w:r>
    </w:p>
    <w:p>
      <w:pPr>
        <w:pStyle w:val="Compact"/>
        <w:numPr>
          <w:ilvl w:val="0"/>
          <w:numId w:val="1020"/>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1"/>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1"/>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1"/>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1"/>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1"/>
        </w:numPr>
      </w:pPr>
      <w:r>
        <w:t xml:space="preserve">приименные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2"/>
        </w:numPr>
      </w:pPr>
      <w:r>
        <w:t xml:space="preserve">прономинальные демонстративы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1"/>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1"/>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1"/>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1"/>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rPr>
          <w:i/>
          <w:iCs/>
        </w:rPr>
        <w:t xml:space="preserve">Интриган был осторожен в этом вопросе.</w:t>
      </w:r>
    </w:p>
    <w:p>
      <w:pPr>
        <w:pStyle w:val="Compact"/>
        <w:numPr>
          <w:ilvl w:val="0"/>
          <w:numId w:val="1001"/>
        </w:numPr>
      </w:pPr>
      <w:r>
        <w:t xml:space="preserve">*</w:t>
      </w:r>
      <w:r>
        <w:rPr>
          <w:i/>
          <w:iCs/>
        </w:rPr>
        <w:t xml:space="preserve">Интриган былa осторожна в этом вопросе.</w:t>
      </w:r>
    </w:p>
    <w:p>
      <w:pPr>
        <w:pStyle w:val="Compact"/>
        <w:numPr>
          <w:ilvl w:val="0"/>
          <w:numId w:val="1001"/>
        </w:numPr>
      </w:pPr>
      <w:r>
        <w:rPr>
          <w:i/>
          <w:iCs/>
        </w:rPr>
        <w:t xml:space="preserve">Интриганка была осторожна в этом вопросе.</w:t>
      </w:r>
    </w:p>
    <w:p>
      <w:pPr>
        <w:pStyle w:val="Compact"/>
        <w:numPr>
          <w:ilvl w:val="0"/>
          <w:numId w:val="1001"/>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sec-logic"/>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3"/>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3"/>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3"/>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1"/>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1"/>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1"/>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1"/>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1"/>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1"/>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1"/>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1"/>
        </w:numPr>
      </w:pPr>
      <m:oMath>
        <m:r>
          <m:t>K</m:t>
        </m:r>
        <m:r>
          <m:rPr>
            <m:sty m:val="p"/>
          </m:rPr>
          <m:t>¬</m:t>
        </m:r>
        <m:r>
          <m:rPr>
            <m:sty m:val="p"/>
          </m:rPr>
          <m:t>◊</m:t>
        </m:r>
        <m:r>
          <m:t>K</m:t>
        </m:r>
        <m:r>
          <m:t>F</m:t>
        </m:r>
        <m:r>
          <m:t>a</m:t>
        </m:r>
      </m:oMath>
      <w:r>
        <w:br/>
      </w:r>
    </w:p>
    <w:p>
      <w:pPr>
        <w:pStyle w:val="Compact"/>
        <w:numPr>
          <w:ilvl w:val="0"/>
          <w:numId w:val="1001"/>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r>
          <m:rPr>
            <m:sty m:val="p"/>
          </m:rPr>
          <m:t>¬</m:t>
        </m:r>
        <m:r>
          <m:t>F</m:t>
        </m:r>
        <m:r>
          <m:t>a</m:t>
        </m:r>
      </m:oMath>
      <w:r>
        <w:br/>
      </w:r>
    </w:p>
    <w:p>
      <w:pPr>
        <w:pStyle w:val="Compact"/>
        <w:numPr>
          <w:ilvl w:val="0"/>
          <w:numId w:val="1001"/>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1"/>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1"/>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(160),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1"/>
        </w:numPr>
      </w:pPr>
      <m:oMath>
        <m:r>
          <m:t>D</m:t>
        </m:r>
        <m:r>
          <m:t>e</m:t>
        </m:r>
        <m:r>
          <m:t>f</m:t>
        </m:r>
        <m:r>
          <m:rPr>
            <m:sty m:val="p"/>
          </m:rPr>
          <m:t>¬</m:t>
        </m:r>
        <m:r>
          <m:t>D</m:t>
        </m:r>
        <m:r>
          <m:t>e</m:t>
        </m:r>
        <m:r>
          <m:t>f</m:t>
        </m:r>
        <m:r>
          <m:rPr>
            <m:sty m:val="p"/>
          </m:rPr>
          <m:t>¬</m:t>
        </m:r>
        <m:r>
          <m:t>F</m:t>
        </m:r>
        <m:r>
          <m:t>a</m:t>
        </m:r>
      </m:oMath>
      <w:r>
        <w:br/>
      </w:r>
    </w:p>
    <w:p>
      <w:pPr>
        <w:pStyle w:val="Compact"/>
        <w:numPr>
          <w:ilvl w:val="0"/>
          <w:numId w:val="1001"/>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r>
          <m:rPr>
            <m:sty m:val="p"/>
          </m:rPr>
          <m:t>¬</m:t>
        </m:r>
        <m:r>
          <m:t>D</m:t>
        </m:r>
        <m:r>
          <m:t>e</m:t>
        </m:r>
        <m:r>
          <m:t>f</m:t>
        </m:r>
        <m:r>
          <m:t>F</m:t>
        </m:r>
        <m:r>
          <m:t>a</m:t>
        </m:r>
      </m:oMath>
      <w:r>
        <w:br/>
      </w:r>
    </w:p>
    <w:p>
      <w:pPr>
        <w:pStyle w:val="Compact"/>
        <w:numPr>
          <w:ilvl w:val="0"/>
          <w:numId w:val="1001"/>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1"/>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1"/>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1"/>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1"/>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1"/>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1"/>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1"/>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4"/>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4"/>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4"/>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1"/>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1"/>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1"/>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rPr>
          <w:i/>
          <w:iCs/>
        </w:rPr>
        <w:t xml:space="preserve">Bella, Edward said/Jacob suspects/I warn you, is a vampire</w:t>
      </w:r>
      <w:r>
        <w:t xml:space="preserve">.</w:t>
      </w:r>
    </w:p>
    <w:p>
      <w:pPr>
        <w:pStyle w:val="Compact"/>
        <w:numPr>
          <w:ilvl w:val="0"/>
          <w:numId w:val="1001"/>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1"/>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1"/>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1"/>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1"/>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1"/>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⟦Bella is a vampire⟧ = {w1, w2}</w:t>
      </w:r>
    </w:p>
    <w:p>
      <w:pPr>
        <w:pStyle w:val="Compact"/>
        <w:numPr>
          <w:ilvl w:val="0"/>
          <w:numId w:val="1001"/>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rPr>
          <w:i/>
          <w:iCs/>
        </w:rPr>
        <w:t xml:space="preserve">Mary assures us that John can be trusted, but I don’t trust him</w:t>
      </w:r>
      <w:r>
        <w:t xml:space="preserve">.</w:t>
      </w:r>
    </w:p>
    <w:p>
      <w:pPr>
        <w:pStyle w:val="Compact"/>
        <w:numPr>
          <w:ilvl w:val="0"/>
          <w:numId w:val="1001"/>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1"/>
        </w:numPr>
      </w:pPr>
      <w:r>
        <w:rPr>
          <w:i/>
          <w:iCs/>
        </w:rPr>
        <w:t xml:space="preserve">Mary said that Sam is running for political office, but he isn’t</w:t>
      </w:r>
      <w:r>
        <w:t xml:space="preserve">.</w:t>
      </w:r>
    </w:p>
    <w:p>
      <w:pPr>
        <w:pStyle w:val="Compact"/>
        <w:numPr>
          <w:ilvl w:val="0"/>
          <w:numId w:val="1001"/>
        </w:numPr>
      </w:pPr>
      <w:r>
        <w:rPr>
          <w:i/>
          <w:iCs/>
        </w:rPr>
        <w:t xml:space="preserve">Katherine is, Dean thinks, getting married, but she isn’t</w:t>
      </w:r>
      <w:r>
        <w:t xml:space="preserve">.</w:t>
      </w:r>
    </w:p>
    <w:p>
      <w:pPr>
        <w:pStyle w:val="Compact"/>
        <w:numPr>
          <w:ilvl w:val="0"/>
          <w:numId w:val="1001"/>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25"/>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1"/>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1"/>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sec-computer"/>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6"/>
        </w:numPr>
      </w:pPr>
      <w:r>
        <w:rPr>
          <w:rStyle w:val="VerbatimChar"/>
        </w:rPr>
        <w:t xml:space="preserve">language</w:t>
      </w:r>
      <w:r>
        <w:t xml:space="preserve"> </w:t>
      </w:r>
      <w:r>
        <w:t xml:space="preserve">–– название языка;</w:t>
      </w:r>
    </w:p>
    <w:p>
      <w:pPr>
        <w:pStyle w:val="Compact"/>
        <w:numPr>
          <w:ilvl w:val="0"/>
          <w:numId w:val="1026"/>
        </w:numPr>
      </w:pPr>
      <w:r>
        <w:rPr>
          <w:rStyle w:val="VerbatimChar"/>
        </w:rPr>
        <w:t xml:space="preserve">branch</w:t>
      </w:r>
      <w:r>
        <w:t xml:space="preserve"> </w:t>
      </w:r>
      <w:r>
        <w:t xml:space="preserve">–– ветвь языковой семьи;</w:t>
      </w:r>
    </w:p>
    <w:p>
      <w:pPr>
        <w:pStyle w:val="Compact"/>
        <w:numPr>
          <w:ilvl w:val="0"/>
          <w:numId w:val="1026"/>
        </w:numPr>
      </w:pPr>
      <w:r>
        <w:rPr>
          <w:rStyle w:val="VerbatimChar"/>
        </w:rPr>
        <w:t xml:space="preserve">family</w:t>
      </w:r>
      <w:r>
        <w:t xml:space="preserve"> </w:t>
      </w:r>
      <w:r>
        <w:t xml:space="preserve">–– семья;</w:t>
      </w:r>
    </w:p>
    <w:p>
      <w:pPr>
        <w:pStyle w:val="Compact"/>
        <w:numPr>
          <w:ilvl w:val="0"/>
          <w:numId w:val="1026"/>
        </w:numPr>
      </w:pPr>
      <w:r>
        <w:rPr>
          <w:rStyle w:val="VerbatimChar"/>
        </w:rPr>
        <w:t xml:space="preserve">glottocode</w:t>
      </w:r>
      <w:r>
        <w:t xml:space="preserve"> </w:t>
      </w:r>
      <w:r>
        <w:t xml:space="preserve">–– код языка из ресурса Glottolog;</w:t>
      </w:r>
    </w:p>
    <w:p>
      <w:pPr>
        <w:pStyle w:val="Compact"/>
        <w:numPr>
          <w:ilvl w:val="0"/>
          <w:numId w:val="1026"/>
        </w:numPr>
      </w:pPr>
      <w:r>
        <w:rPr>
          <w:rStyle w:val="VerbatimChar"/>
        </w:rPr>
        <w:t xml:space="preserve">language_color</w:t>
      </w:r>
      <w:r>
        <w:t xml:space="preserve"> </w:t>
      </w:r>
      <w:r>
        <w:t xml:space="preserve">–– цветовой код для отдельного языка;</w:t>
      </w:r>
    </w:p>
    <w:p>
      <w:pPr>
        <w:pStyle w:val="Compact"/>
        <w:numPr>
          <w:ilvl w:val="0"/>
          <w:numId w:val="1026"/>
        </w:numPr>
      </w:pPr>
      <w:r>
        <w:rPr>
          <w:rStyle w:val="VerbatimChar"/>
        </w:rPr>
        <w:t xml:space="preserve">branch_color</w:t>
      </w:r>
      <w:r>
        <w:t xml:space="preserve"> </w:t>
      </w:r>
      <w:r>
        <w:t xml:space="preserve">–– цветовой код для ветви;</w:t>
      </w:r>
    </w:p>
    <w:p>
      <w:pPr>
        <w:pStyle w:val="Compact"/>
        <w:numPr>
          <w:ilvl w:val="0"/>
          <w:numId w:val="1026"/>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6"/>
        </w:numPr>
      </w:pPr>
      <w:r>
        <w:rPr>
          <w:rStyle w:val="VerbatimChar"/>
        </w:rPr>
        <w:t xml:space="preserve">abbreviation</w:t>
      </w:r>
      <w:r>
        <w:t xml:space="preserve"> </w:t>
      </w:r>
      <w:r>
        <w:t xml:space="preserve">–– сокращенное название;</w:t>
      </w:r>
    </w:p>
    <w:p>
      <w:pPr>
        <w:pStyle w:val="Compact"/>
        <w:numPr>
          <w:ilvl w:val="0"/>
          <w:numId w:val="1026"/>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212a772deab2311e0b9c635f15501622014afac"/>
    <w:p>
      <w:pPr>
        <w:pStyle w:val="Heading3"/>
      </w:pPr>
      <w:r>
        <w:t xml:space="preserve">5.2.3 Новые корпусы и авторская позиция в текстах, сгенерированных ИИ (Туляков Д.С.)</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7"/>
        </w:numPr>
      </w:pPr>
      <w:r>
        <w:t xml:space="preserve">Как используются и распространены методы убеждения в англоязычных пропагандистских текстах?</w:t>
      </w:r>
    </w:p>
    <w:p>
      <w:pPr>
        <w:pStyle w:val="Compact"/>
        <w:numPr>
          <w:ilvl w:val="0"/>
          <w:numId w:val="1027"/>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8"/>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8"/>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29"/>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29"/>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29"/>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29"/>
        </w:numPr>
      </w:pPr>
      <w:r>
        <w:t xml:space="preserve">изображения протестных демонстраций и активизма, например, активистов и митингов;</w:t>
      </w:r>
    </w:p>
    <w:p>
      <w:pPr>
        <w:pStyle w:val="Compact"/>
        <w:numPr>
          <w:ilvl w:val="0"/>
          <w:numId w:val="1029"/>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0"/>
        </w:numPr>
      </w:pPr>
      <w:r>
        <w:t xml:space="preserve">формирование сбалансированной выборки из Корпуса русского рассказа;</w:t>
      </w:r>
    </w:p>
    <w:p>
      <w:pPr>
        <w:pStyle w:val="Compact"/>
        <w:numPr>
          <w:ilvl w:val="0"/>
          <w:numId w:val="1030"/>
        </w:numPr>
      </w:pPr>
      <w:r>
        <w:t xml:space="preserve">суммаризация избранных документов;</w:t>
      </w:r>
    </w:p>
    <w:p>
      <w:pPr>
        <w:pStyle w:val="Compact"/>
        <w:numPr>
          <w:ilvl w:val="0"/>
          <w:numId w:val="1030"/>
        </w:numPr>
      </w:pPr>
      <w:r>
        <w:t xml:space="preserve">автоматическая оценка результатов моделей;</w:t>
      </w:r>
    </w:p>
    <w:p>
      <w:pPr>
        <w:pStyle w:val="Compact"/>
        <w:numPr>
          <w:ilvl w:val="0"/>
          <w:numId w:val="1030"/>
        </w:numPr>
      </w:pPr>
      <w:r>
        <w:t xml:space="preserve">экспертная оценка результатов моделей и структурной сложности исходных текстов;</w:t>
      </w:r>
    </w:p>
    <w:p>
      <w:pPr>
        <w:pStyle w:val="Compact"/>
        <w:numPr>
          <w:ilvl w:val="0"/>
          <w:numId w:val="1030"/>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1"/>
        </w:numPr>
      </w:pPr>
      <w:r>
        <w:t xml:space="preserve">охват (coverage) — упоминание важных сюжетных точек, метрика оценивает смысловую составляющую;</w:t>
      </w:r>
    </w:p>
    <w:p>
      <w:pPr>
        <w:pStyle w:val="Compact"/>
        <w:numPr>
          <w:ilvl w:val="0"/>
          <w:numId w:val="1031"/>
        </w:numPr>
      </w:pPr>
      <w:r>
        <w:t xml:space="preserve">достоверность (faithfulness) — наличие несуществующих в исходном тексте деталей или искажение истории;</w:t>
      </w:r>
    </w:p>
    <w:p>
      <w:pPr>
        <w:pStyle w:val="Compact"/>
        <w:numPr>
          <w:ilvl w:val="0"/>
          <w:numId w:val="1031"/>
        </w:numPr>
      </w:pPr>
      <w:r>
        <w:t xml:space="preserve">связность (coherence) текста;</w:t>
      </w:r>
    </w:p>
    <w:p>
      <w:pPr>
        <w:pStyle w:val="Compact"/>
        <w:numPr>
          <w:ilvl w:val="0"/>
          <w:numId w:val="1031"/>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2"/>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2"/>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2"/>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2"/>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2"/>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2"/>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2"/>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33"/>
        </w:numPr>
      </w:pPr>
      <w:r>
        <w:t xml:space="preserve">Колмогорова Анастасия Владимировна (заведующий Лабораторией языковой конвергенции);</w:t>
      </w:r>
    </w:p>
    <w:p>
      <w:pPr>
        <w:pStyle w:val="Compact"/>
        <w:numPr>
          <w:ilvl w:val="0"/>
          <w:numId w:val="1033"/>
        </w:numPr>
      </w:pPr>
      <w:r>
        <w:t xml:space="preserve">Явшиц Екатерина Валерьевна (младший научный сотрудник);</w:t>
      </w:r>
    </w:p>
    <w:p>
      <w:pPr>
        <w:pStyle w:val="Compact"/>
        <w:numPr>
          <w:ilvl w:val="0"/>
          <w:numId w:val="1033"/>
        </w:numPr>
      </w:pPr>
      <w:r>
        <w:t xml:space="preserve">Сугян Анна Хачатуровна (стажер-исследователь);</w:t>
      </w:r>
    </w:p>
    <w:p>
      <w:pPr>
        <w:pStyle w:val="Compact"/>
        <w:numPr>
          <w:ilvl w:val="0"/>
          <w:numId w:val="1033"/>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34"/>
        </w:numPr>
      </w:pPr>
      <w:r>
        <w:t xml:space="preserve">Набор аудиофайлов в формате .wav с записями речи;</w:t>
      </w:r>
    </w:p>
    <w:p>
      <w:pPr>
        <w:pStyle w:val="Compact"/>
        <w:numPr>
          <w:ilvl w:val="0"/>
          <w:numId w:val="1034"/>
        </w:numPr>
      </w:pPr>
      <w:r>
        <w:t xml:space="preserve">Текстовый файл в формате .csv, содержащий подробные метаданные для каждого аудиофайла.</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5"/>
        </w:numPr>
      </w:pPr>
      <w:r>
        <w:t xml:space="preserve">Веб-скрейпинг</w:t>
      </w:r>
    </w:p>
    <w:p>
      <w:pPr>
        <w:pStyle w:val="Compact"/>
        <w:numPr>
          <w:ilvl w:val="0"/>
          <w:numId w:val="1035"/>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5"/>
        </w:numPr>
      </w:pPr>
      <w:r>
        <w:t xml:space="preserve">Аспектно-ориентированный сентимент-анализ</w:t>
      </w:r>
    </w:p>
    <w:p>
      <w:pPr>
        <w:pStyle w:val="Compact"/>
        <w:numPr>
          <w:ilvl w:val="0"/>
          <w:numId w:val="1035"/>
        </w:numPr>
      </w:pPr>
      <w:r>
        <w:t xml:space="preserve">Применение больших языковых моделей (запуск моделей через llama-cpp-python локально)</w:t>
      </w:r>
    </w:p>
    <w:p>
      <w:pPr>
        <w:pStyle w:val="Compact"/>
        <w:numPr>
          <w:ilvl w:val="0"/>
          <w:numId w:val="1035"/>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1"/>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1"/>
        </w:numPr>
      </w:pPr>
      <w:r>
        <w:rPr>
          <w:i/>
          <w:iCs/>
        </w:rPr>
        <w:t xml:space="preserve">Сегодня вы просто обречены на успех в амурных делах. Не играйте в карты!</w:t>
      </w:r>
    </w:p>
    <w:p>
      <w:pPr>
        <w:pStyle w:val="Compact"/>
        <w:numPr>
          <w:ilvl w:val="0"/>
          <w:numId w:val="1001"/>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1"/>
        </w:numPr>
      </w:pPr>
      <w:r>
        <w:rPr>
          <w:i/>
          <w:iCs/>
        </w:rPr>
        <w:t xml:space="preserve">Сегодня лучше действовать сообща. Одному столько не выпить.</w:t>
      </w:r>
    </w:p>
    <w:p>
      <w:pPr>
        <w:pStyle w:val="Compact"/>
        <w:numPr>
          <w:ilvl w:val="0"/>
          <w:numId w:val="1001"/>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6"/>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6"/>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6"/>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6"/>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6"/>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В 2025 году были проведены разноплановые исследования, разнообразные как по области анализа, так и по применяемым научным методам и результатам. В частности, значительные результаты были достигнуты как и в рамках теоретических подходов к языку, речи и представлению информации, так и в области компьютерных разработок, связанных с представлением языковых данных и поисковыми системами.</w:t>
      </w:r>
    </w:p>
    <w:p>
      <w:pPr>
        <w:pStyle w:val="BodyText"/>
      </w:pPr>
      <w:r>
        <w:t xml:space="preserve">Теоретические исследования касались лексики и грамматики. В области лексики были описаны императивные междометия в языках Кавказа; именные части речи, сложные глаголы в иранских языках; наконец, были проведены лексико-типологические исследования, в которых анализировались лексические группы «мешать» и «менять». Особая область исследований была связана с заимствованиями — исследования велись, прежде всего, на материале малых иранских (памирских) языков: рассматривались таджикские заимствования в шугнанском языке и слова списка Сводеша для двух из них — шугнанского и бартангского.</w:t>
      </w:r>
      <w:r>
        <w:t xml:space="preserve"> </w:t>
      </w:r>
      <w:r>
        <w:t xml:space="preserve">Что касается грамматики, то здесь было проведено описание согласование, полипредикативных конструкций, анафорических элементов (анафоров и прономиналов) и других областей грамматики языков разной структуры, ареалов и генетической принадлежности. В целом за отчётный год существенно расширились представления о языках трех ареалов: Кавказа, Памира и севера, включая Арктику. Большой процент использованных данных был собран в ходе экспедиций.</w:t>
      </w:r>
    </w:p>
    <w:p>
      <w:pPr>
        <w:pStyle w:val="BodyText"/>
      </w:pPr>
      <w:r>
        <w:t xml:space="preserve">Исследования отдельных языков одновременно углубляют знания о каждом из них и предоставляют базу для дальнейших типологических исследований и формального моделирования. В рамках исследований отдельных языков в 2025 году изучен ряд особенностей нестандартной русской речи, в том числе в речи русско-чувашских и русско-казахских билингвов, детей и студентов. Подробно изучены явления из области дискурса, морфосинтаксиса, грамматической и лексической семантики языков России и ближнего зарубежья (уральских, тунгусо-маньчжурских, чукотско-камчатских, индоевропейских, абхазо-адыгских, аваро-андо-цезских). Также описаны некоторые важнейшие особенности использования языка носителями: морфосинтаксические корреляты языковой утраты, особенности стиха и прозы на языке, функционирование орфографии в малом языковом сообществе.</w:t>
      </w:r>
    </w:p>
    <w:p>
      <w:pPr>
        <w:pStyle w:val="BodyText"/>
      </w:pPr>
      <w:r>
        <w:t xml:space="preserve">Отдельная область описания была связана с применением в языковом описании формальных подходов. В результате исследований были получены уточнения формальных моделей (как в области формальной семантики, так и синтаксиса) для многих исследованных тем: свойств полипредикации, порядка слов (в частности, операции скрэмблинга), анафорических элементов (анафоров и прономиналов) и других типов местоимений. Часть явлений, которые стандартно связываются с другими уровнями языка — семантикой и морфологией — получили новые синтаксические объяснения (к ним в первую очередь относится маркирование видовременных категорий). Существенно, что формальный анализ применялся к широкому набору языков: русскому, хантыйскому, абазинскому, кильдинскому саамскому, мишарскому татарскому и другим.</w:t>
      </w:r>
    </w:p>
    <w:p>
      <w:pPr>
        <w:pStyle w:val="BodyText"/>
      </w:pPr>
      <w:r>
        <w:t xml:space="preserve">В ходе грамматических и лексических исследований совершенствовались и разрабатывались прикладные инструменты работы с малыми языками — например, система машинного перевода с памирских языков и корпус текстов на хантыйском языке. Проведённые исследования позволили ещё раз подтвердить и даже углубить представление о ценности корпусных и других прикладных инструментов для изучения малоисследованных языков.</w:t>
      </w:r>
    </w:p>
    <w:p>
      <w:pPr>
        <w:pStyle w:val="BodyText"/>
      </w:pPr>
      <w:r>
        <w:t xml:space="preserve">Отдельная и тоже очень ценная работа была проведена на стыке собственно лингвистики (а точнее, семантики языковых единиц) и логики. 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частности, новые исследования были проведены в области семиотики — это позволило придать новое звучание наследию Ч-С. Пирса. С помощью его классической концепции оказалось возможным описание таких современных единиц, как интернет-мемы (понятия иконичности, типа, знака и привычки вывода).</w:t>
      </w:r>
    </w:p>
    <w:p>
      <w:pPr>
        <w:pStyle w:val="BodyText"/>
      </w:pPr>
      <w:r>
        <w:t xml:space="preserve">В рамках другого логико-лингвистического исследования были предложены различные модификации формальной семантики перформативов и распределения пропозициональных глаголов (в частности, степени коммитмента). В ходе работы были достигнуты важные эмпирические результаты — были построены формальные модели различий между пропозициональными глаголами и семантики эвиденциальных конструкций (на материале коми-зырянского языка).</w:t>
      </w:r>
    </w:p>
    <w:p>
      <w:pPr>
        <w:pStyle w:val="BodyText"/>
      </w:pPr>
      <w:r>
        <w:t xml:space="preserve">В области прикладных исследований были проведены эксперименты по оценке качества существующих систем автоматического распознавания речи на материале данных атипичной речи и устной речи в зашумленных условиях. Это прикладное исследование позволило получить существенный задел на будущее: были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 Ещё одним прикладным направлением был сентимент-анализ: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w:t>
      </w:r>
    </w:p>
    <w:p>
      <w:pPr>
        <w:pStyle w:val="BodyText"/>
      </w:pPr>
      <w:r>
        <w:t xml:space="preserve">Кроме того, удалось проанализировать возможность автоматического сопоставления синтаксиса разных языков и определения ошибок в учебных текстах.</w:t>
      </w:r>
    </w:p>
    <w:p>
      <w:pPr>
        <w:pStyle w:val="BodyText"/>
      </w:pPr>
      <w:r>
        <w:t xml:space="preserve">Наконец, важные результаты были получены при работе с большими мультимодальными моделями (VLMs), а также большими языковыми моделями (LLMs). В ходе работы удалось продвинуться в сопоставлении описании картин носителями языка и языковыми моделями и в исследовании возможностей автоматического пересказа художественных произведений. Интенсивная работа была проведена при разработке двух корпусных ресурсов: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2025-11-24T09:05:43Z</dcterms:created>
  <dcterms:modified xsi:type="dcterms:W3CDTF">2025-11-24T09:05:43Z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